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rtl w:val="0"/>
        </w:rPr>
        <w:t xml:space="preserve">kw: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Salário e remuneração</w:t>
      </w:r>
    </w:p>
    <w:p w:rsidR="00000000" w:rsidDel="00000000" w:rsidP="00000000" w:rsidRDefault="00000000" w:rsidRPr="00000000" w14:paraId="00000002">
      <w:pPr>
        <w:pStyle w:val="Title"/>
        <w:rPr/>
      </w:pPr>
      <w:bookmarkStart w:colFirst="0" w:colLast="0" w:name="_z03a64bu574p" w:id="0"/>
      <w:bookmarkEnd w:id="0"/>
      <w:r w:rsidDel="00000000" w:rsidR="00000000" w:rsidRPr="00000000">
        <w:rPr>
          <w:rtl w:val="0"/>
        </w:rPr>
        <w:t xml:space="preserve">Salário e remuneração meritocrática: quais as diferenças?</w:t>
      </w:r>
    </w:p>
    <w:p w:rsidR="00000000" w:rsidDel="00000000" w:rsidP="00000000" w:rsidRDefault="00000000" w:rsidRPr="00000000" w14:paraId="00000003">
      <w:pPr>
        <w:pStyle w:val="Subtitle"/>
        <w:rPr/>
      </w:pPr>
      <w:bookmarkStart w:colFirst="0" w:colLast="0" w:name="_yw877quj3kt7" w:id="1"/>
      <w:bookmarkEnd w:id="1"/>
      <w:r w:rsidDel="00000000" w:rsidR="00000000" w:rsidRPr="00000000">
        <w:rPr>
          <w:rtl w:val="0"/>
        </w:rPr>
        <w:t xml:space="preserve">O “Contrato de Trabalho Verde e Amarelo” trouxe muitas novidades para a CLT. A mais marcantes trato do salário e remuneração meritocrática.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O ano de 2019 foi cheio de novidades, e uma delas foi uma medida provisória relacionada ao trabalho. Instaurada em 12 de novembro de 2019, a medida nº 905 traz diversas modificações na CLT.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Assim, o “Contrato de Trabalho Verde e Amarelo” modifica áreas referente aos prêmios, gorjetas, participação nos lucros, trabalho nos finais de semana, salário e remuneração meritocrática e demais assuntos dessa natureza.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Quando olhada com mais atenção, essa medida é uma reforma trabalhista em pequena escala. Ademais, temos vários problemas encontrados na CLT resolvidos por ela.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Vamos nos aprofundar no tema.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rPr/>
      </w:pPr>
      <w:bookmarkStart w:colFirst="0" w:colLast="0" w:name="_jwg6ipxkhyco" w:id="2"/>
      <w:bookmarkEnd w:id="2"/>
      <w:r w:rsidDel="00000000" w:rsidR="00000000" w:rsidRPr="00000000">
        <w:rPr>
          <w:rtl w:val="0"/>
        </w:rPr>
        <w:t xml:space="preserve">Como distinguir salário e remuneração?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Existe uma diferença sutil entre salário e remuneração do ponto de vista jurídico. Podemos dizer que o salário é o dinheiro pago ao trabalhador por serviços prestados, em vista de contrato.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Por outro lado, a remuneração é a soma do salário com demais bonificações. Nesse sentido, temos horas extras, gratificações, bonificação noturna e etc.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Em resumo, chamamos de remuneração todo o dinheiro recebido pelo empregado de seu emprego, este sendo pago pelo empregador diretamente ou não.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rPr/>
      </w:pPr>
      <w:bookmarkStart w:colFirst="0" w:colLast="0" w:name="_z7g76dxyl6bj" w:id="3"/>
      <w:bookmarkEnd w:id="3"/>
      <w:r w:rsidDel="00000000" w:rsidR="00000000" w:rsidRPr="00000000">
        <w:rPr>
          <w:rtl w:val="0"/>
        </w:rPr>
        <w:t xml:space="preserve">Salário e remuneração meritocrática: problemas na CLT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De acordo com a Lei 13.467/17, temos que prêmios não devem fazer parte do salário. Assim, não ocorreriam alíquotas de encargos trabalhistas nem de aposentadoria.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No entanto, no mesmo artigo onde encontramos a informação anterior, temos que os prêmios podem ser concedidos pelos empregadores, quando o colaborador tiver resultados acima do esperado.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O problema surge quando interpretamos a Lei neste ponto. Se o empregador colocar meta para o prêmio e os funcionários receberem este valor todos os meses, o bônus deixa de ser espontâneo, podendo ser entendido como salário. No mesmo caso, colocar uma meta torna o resultado esperado, ou seja, não passível de prêmio.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Nos dois casos analisados temos uma inconsistência. Vejamos como esse problema foi resolvido.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rPr/>
      </w:pPr>
      <w:bookmarkStart w:colFirst="0" w:colLast="0" w:name="_trfe7cxc51k3" w:id="4"/>
      <w:bookmarkEnd w:id="4"/>
      <w:r w:rsidDel="00000000" w:rsidR="00000000" w:rsidRPr="00000000">
        <w:rPr>
          <w:rtl w:val="0"/>
        </w:rPr>
        <w:t xml:space="preserve">Como a medida provisória nº 905 resolveu o problema?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 medida provisória resolveu o problema do salário e remuneração meritocrática de forma simples. Em suma, ela define que tanto as regras quanto o prêmio devem ser estabelecidos. Além disso, ainda dá margem para ocorrer tanto o ajuste unilateral quanto ajuste em concordância com os colaboradores.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Para garantir maior segurança, o pagamento foi restringido a um por trimestre ou quatro no ano. Dessa forma não temos o perigo de tornar o extraordinário em ordinário, correndo risco de tributação. A diferença entre salário e remuneração foi bem estabelecida, facilitando a aplicação da Lei.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2374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37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